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88D" w:rsidRDefault="0071388D" w:rsidP="0071388D">
      <w:pPr>
        <w:pStyle w:val="Default"/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Novo Mineirão – uma PPP que deu certo </w:t>
      </w:r>
    </w:p>
    <w:p w:rsidR="0071388D" w:rsidRDefault="0071388D" w:rsidP="0071388D">
      <w:pPr>
        <w:pStyle w:val="Default"/>
        <w:rPr>
          <w:sz w:val="23"/>
          <w:szCs w:val="23"/>
        </w:rPr>
      </w:pPr>
    </w:p>
    <w:p w:rsidR="0071388D" w:rsidRDefault="0071388D" w:rsidP="0071388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 viabilidade econômica do Mineirão será um dos grandes legados que a Copa do Mundo da FIFA Brasil 2014</w:t>
      </w:r>
      <w:r>
        <w:rPr>
          <w:sz w:val="16"/>
          <w:szCs w:val="16"/>
        </w:rPr>
        <w:t xml:space="preserve">TM </w:t>
      </w:r>
      <w:r>
        <w:rPr>
          <w:sz w:val="23"/>
          <w:szCs w:val="23"/>
        </w:rPr>
        <w:t xml:space="preserve">vai deixar para a capital mineira. O Mineirão que está sendo entregue aos torcedores é também um estádio financeiramente sustentável. </w:t>
      </w:r>
    </w:p>
    <w:p w:rsidR="0071388D" w:rsidRDefault="0071388D" w:rsidP="0071388D">
      <w:pPr>
        <w:pStyle w:val="Default"/>
        <w:rPr>
          <w:sz w:val="23"/>
          <w:szCs w:val="23"/>
        </w:rPr>
      </w:pPr>
    </w:p>
    <w:p w:rsidR="0071388D" w:rsidRDefault="0071388D" w:rsidP="0071388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Para atingir esse objetivo, o Governo de Minas optou por um modelo de negócio que privilegia a modernização da infraestrutura, valoriza o complexo arquitetônico da Pampulha e busca o mais alto padrão internacional de operação do estádio, com conforto e segurança. Um modelo que também inova na visão comercial, ao perceber o torcedor como cliente. </w:t>
      </w:r>
    </w:p>
    <w:p w:rsidR="0071388D" w:rsidRDefault="0071388D" w:rsidP="0071388D">
      <w:pPr>
        <w:pStyle w:val="Default"/>
        <w:rPr>
          <w:sz w:val="23"/>
          <w:szCs w:val="23"/>
        </w:rPr>
      </w:pPr>
    </w:p>
    <w:p w:rsidR="0071388D" w:rsidRDefault="0071388D" w:rsidP="0071388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As obras do novo Mineirão foram realizadas com recursos do Governo de Minas, nas primeiras duas fases do planejamento, e a terceira etapa pela modalidade parceria público-privada (PPP). </w:t>
      </w:r>
    </w:p>
    <w:p w:rsidR="0071388D" w:rsidRDefault="0071388D" w:rsidP="0071388D">
      <w:pPr>
        <w:pStyle w:val="Default"/>
        <w:rPr>
          <w:sz w:val="23"/>
          <w:szCs w:val="23"/>
        </w:rPr>
      </w:pPr>
    </w:p>
    <w:p w:rsidR="0071388D" w:rsidRDefault="0071388D" w:rsidP="0071388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Inspirada em exemplos bem-sucedidos de países como Alemanha, Holanda, França e Cingapura, na gestão compartilhada o Estado não investe recursos públicos diretamente na obra, e o vencedor da licitação se responsabiliza pelos investimentos e pela execução das obras. </w:t>
      </w:r>
    </w:p>
    <w:p w:rsidR="0071388D" w:rsidRDefault="0071388D" w:rsidP="0071388D">
      <w:pPr>
        <w:pStyle w:val="Default"/>
        <w:rPr>
          <w:sz w:val="23"/>
          <w:szCs w:val="23"/>
        </w:rPr>
      </w:pPr>
    </w:p>
    <w:p w:rsidR="0071388D" w:rsidRDefault="0071388D" w:rsidP="0071388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 empresa Minas Arena – constituída pelas construtoras </w:t>
      </w:r>
      <w:proofErr w:type="spellStart"/>
      <w:r>
        <w:rPr>
          <w:sz w:val="23"/>
          <w:szCs w:val="23"/>
        </w:rPr>
        <w:t>Construcap</w:t>
      </w:r>
      <w:proofErr w:type="spellEnd"/>
      <w:r>
        <w:rPr>
          <w:sz w:val="23"/>
          <w:szCs w:val="23"/>
        </w:rPr>
        <w:t xml:space="preserve"> S.A. Indústria e Comércio, </w:t>
      </w:r>
      <w:proofErr w:type="spellStart"/>
      <w:r>
        <w:rPr>
          <w:sz w:val="23"/>
          <w:szCs w:val="23"/>
        </w:rPr>
        <w:t>Egesa</w:t>
      </w:r>
      <w:proofErr w:type="spellEnd"/>
      <w:r>
        <w:rPr>
          <w:sz w:val="23"/>
          <w:szCs w:val="23"/>
        </w:rPr>
        <w:t xml:space="preserve"> Engenharia S.A. e </w:t>
      </w:r>
      <w:proofErr w:type="spellStart"/>
      <w:r>
        <w:rPr>
          <w:sz w:val="23"/>
          <w:szCs w:val="23"/>
        </w:rPr>
        <w:t>Hap</w:t>
      </w:r>
      <w:proofErr w:type="spellEnd"/>
      <w:r>
        <w:rPr>
          <w:sz w:val="23"/>
          <w:szCs w:val="23"/>
        </w:rPr>
        <w:t xml:space="preserve"> Engenharia </w:t>
      </w:r>
      <w:proofErr w:type="spellStart"/>
      <w:r>
        <w:rPr>
          <w:sz w:val="23"/>
          <w:szCs w:val="23"/>
        </w:rPr>
        <w:t>Ltda</w:t>
      </w:r>
      <w:proofErr w:type="spellEnd"/>
      <w:r>
        <w:rPr>
          <w:sz w:val="23"/>
          <w:szCs w:val="23"/>
        </w:rPr>
        <w:t xml:space="preserve"> – venceu a licitação em 2010 para executar a reforma do Mineirão. Posteriormente à reinauguração, será responsável também por manter e operar o estádio durante 25 anos. </w:t>
      </w:r>
    </w:p>
    <w:p w:rsidR="0071388D" w:rsidRDefault="0071388D" w:rsidP="0071388D">
      <w:pPr>
        <w:pStyle w:val="Default"/>
        <w:rPr>
          <w:sz w:val="23"/>
          <w:szCs w:val="23"/>
        </w:rPr>
      </w:pPr>
    </w:p>
    <w:p w:rsidR="0071388D" w:rsidRDefault="0071388D" w:rsidP="0071388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Nesse modelo, </w:t>
      </w:r>
      <w:proofErr w:type="gramStart"/>
      <w:r>
        <w:rPr>
          <w:sz w:val="23"/>
          <w:szCs w:val="23"/>
        </w:rPr>
        <w:t>o Estado monitora</w:t>
      </w:r>
      <w:proofErr w:type="gramEnd"/>
      <w:r>
        <w:rPr>
          <w:sz w:val="23"/>
          <w:szCs w:val="23"/>
        </w:rPr>
        <w:t xml:space="preserve"> a reforma e, depois da reabertura, fiscaliza o funcionamento da arena. O contrato estabelece cerca de 200 indicadores de desempenho para assegurar a qualidade do serviço prestado pelo parceiro privado. </w:t>
      </w:r>
    </w:p>
    <w:p w:rsidR="0071388D" w:rsidRDefault="0071388D" w:rsidP="0071388D">
      <w:pPr>
        <w:pStyle w:val="Default"/>
        <w:rPr>
          <w:sz w:val="23"/>
          <w:szCs w:val="23"/>
        </w:rPr>
      </w:pPr>
    </w:p>
    <w:p w:rsidR="0071388D" w:rsidRDefault="0071388D" w:rsidP="0071388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Essa modalidade também contempla os clubes de futebol, que poderão fazer acordos comerciais com o gestor do estádio. O contrato do Governo de Minas e Minas Arena assegura cerca de 60 partidas de futebol por ano no Mineirão. </w:t>
      </w:r>
    </w:p>
    <w:p w:rsidR="0071388D" w:rsidRDefault="0071388D" w:rsidP="0071388D">
      <w:pPr>
        <w:pStyle w:val="Default"/>
        <w:rPr>
          <w:sz w:val="23"/>
          <w:szCs w:val="23"/>
        </w:rPr>
      </w:pPr>
    </w:p>
    <w:p w:rsidR="00F915A3" w:rsidRPr="0071388D" w:rsidRDefault="0071388D" w:rsidP="0071388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Nesse cenário, o grande vencedor será o torcedor, que passará a ser visto como um cliente. Esse novo torcedor-cliente vai frequentar um estádio mais confortável, seguro, acessível e sustentável. E, além de partidas de futebol, poderá assistir também a grandes eventos artísticos e culturais, já que o Mineirão foi transformado em uma moderna arena multiuso.</w:t>
      </w:r>
      <w:bookmarkStart w:id="0" w:name="_GoBack"/>
      <w:bookmarkEnd w:id="0"/>
    </w:p>
    <w:sectPr w:rsidR="00F915A3" w:rsidRPr="007138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88D"/>
    <w:rsid w:val="00496C12"/>
    <w:rsid w:val="005E4B00"/>
    <w:rsid w:val="0071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138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138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CAMG</Company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m1307498</dc:creator>
  <cp:lastModifiedBy>m1307498</cp:lastModifiedBy>
  <cp:revision>1</cp:revision>
  <dcterms:created xsi:type="dcterms:W3CDTF">2012-12-12T16:46:00Z</dcterms:created>
  <dcterms:modified xsi:type="dcterms:W3CDTF">2012-12-12T16:46:00Z</dcterms:modified>
</cp:coreProperties>
</file>