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E2F" w:rsidRDefault="00F71E2F" w:rsidP="00F71E2F">
      <w:pPr>
        <w:pStyle w:val="Default"/>
        <w:jc w:val="center"/>
        <w:rPr>
          <w:sz w:val="48"/>
          <w:szCs w:val="48"/>
        </w:rPr>
      </w:pPr>
      <w:r>
        <w:rPr>
          <w:b/>
          <w:bCs/>
          <w:sz w:val="48"/>
          <w:szCs w:val="48"/>
        </w:rPr>
        <w:t>Obra verde e socialmente responsável</w:t>
      </w:r>
    </w:p>
    <w:p w:rsidR="00F71E2F" w:rsidRDefault="00F71E2F" w:rsidP="00F71E2F">
      <w:pPr>
        <w:pStyle w:val="Default"/>
        <w:jc w:val="center"/>
        <w:rPr>
          <w:i/>
          <w:iCs/>
          <w:sz w:val="32"/>
          <w:szCs w:val="32"/>
        </w:rPr>
      </w:pPr>
      <w:r>
        <w:rPr>
          <w:i/>
          <w:iCs/>
          <w:sz w:val="32"/>
          <w:szCs w:val="32"/>
        </w:rPr>
        <w:t>Modernização do estádio foi planejada com medidas de sustentabilidade</w:t>
      </w:r>
    </w:p>
    <w:p w:rsidR="00F71E2F" w:rsidRDefault="00F71E2F" w:rsidP="00F71E2F">
      <w:pPr>
        <w:pStyle w:val="Default"/>
        <w:jc w:val="center"/>
        <w:rPr>
          <w:sz w:val="32"/>
          <w:szCs w:val="32"/>
        </w:rPr>
      </w:pPr>
    </w:p>
    <w:p w:rsidR="00F71E2F" w:rsidRDefault="00F71E2F" w:rsidP="00F71E2F">
      <w:pPr>
        <w:pStyle w:val="Default"/>
        <w:rPr>
          <w:sz w:val="22"/>
          <w:szCs w:val="22"/>
        </w:rPr>
      </w:pPr>
      <w:r>
        <w:rPr>
          <w:sz w:val="22"/>
          <w:szCs w:val="22"/>
        </w:rPr>
        <w:t xml:space="preserve">Ações sustentáveis foram </w:t>
      </w:r>
      <w:proofErr w:type="gramStart"/>
      <w:r>
        <w:rPr>
          <w:sz w:val="22"/>
          <w:szCs w:val="22"/>
        </w:rPr>
        <w:t>implementadas</w:t>
      </w:r>
      <w:proofErr w:type="gramEnd"/>
      <w:r>
        <w:rPr>
          <w:sz w:val="22"/>
          <w:szCs w:val="22"/>
        </w:rPr>
        <w:t xml:space="preserve"> desde o início das obras de reconstrução do Gigante da Pampulha, em janeiro de 2010, em concordância com os padrões internacionais de respeito ao meio ambiente, tais como reaproveitamento de entulhos, uso de energia solar, reuso de água da chuva para irrigação e limpeza e iluminação de baixo consumo. </w:t>
      </w:r>
    </w:p>
    <w:p w:rsidR="00F71E2F" w:rsidRDefault="00F71E2F" w:rsidP="00F71E2F">
      <w:pPr>
        <w:pStyle w:val="Default"/>
        <w:rPr>
          <w:sz w:val="22"/>
          <w:szCs w:val="22"/>
        </w:rPr>
      </w:pPr>
    </w:p>
    <w:p w:rsidR="00F71E2F" w:rsidRDefault="00F71E2F" w:rsidP="00F71E2F">
      <w:pPr>
        <w:pStyle w:val="Default"/>
        <w:rPr>
          <w:sz w:val="22"/>
          <w:szCs w:val="22"/>
        </w:rPr>
      </w:pPr>
      <w:r>
        <w:rPr>
          <w:sz w:val="22"/>
          <w:szCs w:val="22"/>
        </w:rPr>
        <w:t xml:space="preserve">Todas as iniciativas visaram não só a diminuir o impacto ambiental provocado pela obra, mas também compensar o meio ambiente de maneira responsável. </w:t>
      </w:r>
    </w:p>
    <w:p w:rsidR="00F71E2F" w:rsidRDefault="00F71E2F" w:rsidP="00F71E2F">
      <w:pPr>
        <w:pStyle w:val="Default"/>
        <w:rPr>
          <w:sz w:val="22"/>
          <w:szCs w:val="22"/>
        </w:rPr>
      </w:pPr>
    </w:p>
    <w:p w:rsidR="00F71E2F" w:rsidRDefault="00F71E2F" w:rsidP="00F71E2F">
      <w:pPr>
        <w:pStyle w:val="Default"/>
        <w:rPr>
          <w:sz w:val="22"/>
          <w:szCs w:val="22"/>
        </w:rPr>
      </w:pPr>
      <w:r>
        <w:rPr>
          <w:sz w:val="22"/>
          <w:szCs w:val="22"/>
        </w:rPr>
        <w:t>O Mineirão pretende conquistar o certificado LEED (</w:t>
      </w:r>
      <w:proofErr w:type="spellStart"/>
      <w:r>
        <w:rPr>
          <w:sz w:val="22"/>
          <w:szCs w:val="22"/>
        </w:rPr>
        <w:t>Leadership</w:t>
      </w:r>
      <w:proofErr w:type="spellEnd"/>
      <w:r>
        <w:rPr>
          <w:sz w:val="22"/>
          <w:szCs w:val="22"/>
        </w:rPr>
        <w:t xml:space="preserve"> in Energy </w:t>
      </w:r>
      <w:proofErr w:type="spellStart"/>
      <w:r>
        <w:rPr>
          <w:sz w:val="22"/>
          <w:szCs w:val="22"/>
        </w:rPr>
        <w:t>an</w:t>
      </w:r>
      <w:proofErr w:type="spellEnd"/>
      <w:r>
        <w:rPr>
          <w:sz w:val="22"/>
          <w:szCs w:val="22"/>
        </w:rPr>
        <w:t xml:space="preserve"> </w:t>
      </w:r>
      <w:proofErr w:type="spellStart"/>
      <w:r>
        <w:rPr>
          <w:sz w:val="22"/>
          <w:szCs w:val="22"/>
        </w:rPr>
        <w:t>Enviromental</w:t>
      </w:r>
      <w:proofErr w:type="spellEnd"/>
      <w:r>
        <w:rPr>
          <w:sz w:val="22"/>
          <w:szCs w:val="22"/>
        </w:rPr>
        <w:t xml:space="preserve"> Design) na categoria “Nova Construção e Renovação Principal” (New </w:t>
      </w:r>
      <w:proofErr w:type="spellStart"/>
      <w:r>
        <w:rPr>
          <w:sz w:val="22"/>
          <w:szCs w:val="22"/>
        </w:rPr>
        <w:t>Construction</w:t>
      </w:r>
      <w:proofErr w:type="spellEnd"/>
      <w:r>
        <w:rPr>
          <w:sz w:val="22"/>
          <w:szCs w:val="22"/>
        </w:rPr>
        <w:t xml:space="preserve"> </w:t>
      </w:r>
      <w:proofErr w:type="spellStart"/>
      <w:r>
        <w:rPr>
          <w:sz w:val="22"/>
          <w:szCs w:val="22"/>
        </w:rPr>
        <w:t>and</w:t>
      </w:r>
      <w:proofErr w:type="spellEnd"/>
      <w:r>
        <w:rPr>
          <w:sz w:val="22"/>
          <w:szCs w:val="22"/>
        </w:rPr>
        <w:t xml:space="preserve"> Major </w:t>
      </w:r>
      <w:proofErr w:type="spellStart"/>
      <w:r>
        <w:rPr>
          <w:sz w:val="22"/>
          <w:szCs w:val="22"/>
        </w:rPr>
        <w:t>Renovation</w:t>
      </w:r>
      <w:proofErr w:type="spellEnd"/>
      <w:r>
        <w:rPr>
          <w:sz w:val="22"/>
          <w:szCs w:val="22"/>
        </w:rPr>
        <w:t xml:space="preserve">), conferido a projetos de reconstrução. A certificação é concedida pelo U.S. Green </w:t>
      </w:r>
      <w:proofErr w:type="spellStart"/>
      <w:r>
        <w:rPr>
          <w:sz w:val="22"/>
          <w:szCs w:val="22"/>
        </w:rPr>
        <w:t>Building</w:t>
      </w:r>
      <w:proofErr w:type="spellEnd"/>
      <w:r>
        <w:rPr>
          <w:sz w:val="22"/>
          <w:szCs w:val="22"/>
        </w:rPr>
        <w:t xml:space="preserve"> </w:t>
      </w:r>
      <w:proofErr w:type="spellStart"/>
      <w:r>
        <w:rPr>
          <w:sz w:val="22"/>
          <w:szCs w:val="22"/>
        </w:rPr>
        <w:t>Council</w:t>
      </w:r>
      <w:proofErr w:type="spellEnd"/>
      <w:r>
        <w:rPr>
          <w:sz w:val="22"/>
          <w:szCs w:val="22"/>
        </w:rPr>
        <w:t>.</w:t>
      </w:r>
    </w:p>
    <w:p w:rsidR="00F71E2F" w:rsidRDefault="00F71E2F" w:rsidP="00F71E2F">
      <w:pPr>
        <w:pStyle w:val="Default"/>
        <w:rPr>
          <w:sz w:val="22"/>
          <w:szCs w:val="22"/>
        </w:rPr>
      </w:pPr>
      <w:r>
        <w:rPr>
          <w:sz w:val="22"/>
          <w:szCs w:val="22"/>
        </w:rPr>
        <w:t xml:space="preserve"> </w:t>
      </w:r>
    </w:p>
    <w:p w:rsidR="00F71E2F" w:rsidRDefault="00F71E2F" w:rsidP="00F71E2F">
      <w:pPr>
        <w:pStyle w:val="Default"/>
        <w:rPr>
          <w:sz w:val="22"/>
          <w:szCs w:val="22"/>
        </w:rPr>
      </w:pPr>
      <w:r>
        <w:rPr>
          <w:sz w:val="22"/>
          <w:szCs w:val="22"/>
        </w:rPr>
        <w:t xml:space="preserve">A avaliação da obra está baseada em critérios como localização sustentável, eficiência no uso da água, energia e atmosfera, materiais, recursos e, por último, qualidade do ambiente interno. </w:t>
      </w:r>
    </w:p>
    <w:p w:rsidR="00F71E2F" w:rsidRDefault="00F71E2F" w:rsidP="00F71E2F">
      <w:pPr>
        <w:pStyle w:val="Default"/>
        <w:rPr>
          <w:sz w:val="22"/>
          <w:szCs w:val="22"/>
        </w:rPr>
      </w:pPr>
    </w:p>
    <w:p w:rsidR="00F71E2F" w:rsidRDefault="00F71E2F" w:rsidP="00F71E2F">
      <w:pPr>
        <w:pStyle w:val="Default"/>
        <w:rPr>
          <w:sz w:val="22"/>
          <w:szCs w:val="22"/>
        </w:rPr>
      </w:pPr>
      <w:r>
        <w:rPr>
          <w:sz w:val="22"/>
          <w:szCs w:val="22"/>
        </w:rPr>
        <w:t xml:space="preserve">O investimento em um projeto ambientalmente sustentável está previsto no caderno de encargos da </w:t>
      </w:r>
      <w:proofErr w:type="gramStart"/>
      <w:r>
        <w:rPr>
          <w:sz w:val="22"/>
          <w:szCs w:val="22"/>
        </w:rPr>
        <w:t>Fifa</w:t>
      </w:r>
      <w:proofErr w:type="gramEnd"/>
      <w:r>
        <w:rPr>
          <w:sz w:val="22"/>
          <w:szCs w:val="22"/>
        </w:rPr>
        <w:t xml:space="preserve">, que pretende que o torneio de 2014 seja reconhecido como a “Copa Verde”. </w:t>
      </w:r>
    </w:p>
    <w:p w:rsidR="00F71E2F" w:rsidRDefault="00F71E2F" w:rsidP="00F71E2F">
      <w:pPr>
        <w:pStyle w:val="Default"/>
        <w:rPr>
          <w:sz w:val="22"/>
          <w:szCs w:val="22"/>
        </w:rPr>
      </w:pPr>
    </w:p>
    <w:p w:rsidR="00F71E2F" w:rsidRDefault="00F71E2F" w:rsidP="00F71E2F">
      <w:pPr>
        <w:pStyle w:val="Default"/>
        <w:rPr>
          <w:sz w:val="32"/>
          <w:szCs w:val="32"/>
        </w:rPr>
      </w:pPr>
      <w:r>
        <w:rPr>
          <w:b/>
          <w:bCs/>
          <w:sz w:val="32"/>
          <w:szCs w:val="32"/>
        </w:rPr>
        <w:t xml:space="preserve">Ações para a Certificação Ambiental </w:t>
      </w:r>
    </w:p>
    <w:p w:rsidR="00F71E2F" w:rsidRDefault="00F71E2F" w:rsidP="00F71E2F">
      <w:pPr>
        <w:pStyle w:val="Default"/>
        <w:rPr>
          <w:i/>
          <w:iCs/>
          <w:sz w:val="22"/>
          <w:szCs w:val="22"/>
        </w:rPr>
      </w:pPr>
      <w:r>
        <w:rPr>
          <w:i/>
          <w:iCs/>
          <w:sz w:val="22"/>
          <w:szCs w:val="22"/>
        </w:rPr>
        <w:t xml:space="preserve">As medidas que já foram adotadas no Mineirão para obtenção do certificado LEED são as seguintes: </w:t>
      </w:r>
    </w:p>
    <w:p w:rsidR="00F71E2F" w:rsidRDefault="00F71E2F" w:rsidP="00F71E2F">
      <w:pPr>
        <w:pStyle w:val="Default"/>
        <w:rPr>
          <w:sz w:val="22"/>
          <w:szCs w:val="22"/>
        </w:rPr>
      </w:pPr>
      <w:bookmarkStart w:id="0" w:name="_GoBack"/>
      <w:bookmarkEnd w:id="0"/>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Reaproveitamento de 90% dos entulhos provenientes da obra.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A terra retirada para rebaixamento do campo foi usada em obras de mobilidade e doada para preencher cavas de mineradoras. O concreto usado foi destinado à pavimentação de ruas.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As antigas cadeiras do Mineirão foram doadas a estádios e ginásios de Minas.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O gramado foi reutilizado no </w:t>
      </w:r>
      <w:proofErr w:type="spellStart"/>
      <w:r>
        <w:rPr>
          <w:sz w:val="22"/>
          <w:szCs w:val="22"/>
        </w:rPr>
        <w:t>Plug</w:t>
      </w:r>
      <w:proofErr w:type="spellEnd"/>
      <w:r>
        <w:rPr>
          <w:sz w:val="22"/>
          <w:szCs w:val="22"/>
        </w:rPr>
        <w:t xml:space="preserve"> Minas, projeto de inclusão social do Governo de Minas.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Controle de emissão de poeira: durante a obra, caminhões-pipa umidificaram a terra para reduzir a emissão de poeira; nos portões de saída de veículos pesados, foi </w:t>
      </w:r>
      <w:proofErr w:type="gramStart"/>
      <w:r>
        <w:rPr>
          <w:sz w:val="22"/>
          <w:szCs w:val="22"/>
        </w:rPr>
        <w:t>instalado</w:t>
      </w:r>
      <w:proofErr w:type="gramEnd"/>
      <w:r>
        <w:rPr>
          <w:sz w:val="22"/>
          <w:szCs w:val="22"/>
        </w:rPr>
        <w:t xml:space="preserve"> o “lava-rodas”, retirando o barro e a sujeira das rodas de máquinas e caminhões, para que as ruas do entorno permanecessem limpas.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Preferência por produtos sustentáveis. Por exemplo: qualquer tinta que não fosse à base de água foi preterida.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Reaproveitamento da madeira das árvores retiradas do entorno do estádio por artesãos mineiros para produção de arte popular.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Reaproveitamento da água de chuva em um reservatório de aproximadamente </w:t>
      </w:r>
      <w:proofErr w:type="gramStart"/>
      <w:r>
        <w:rPr>
          <w:sz w:val="22"/>
          <w:szCs w:val="22"/>
        </w:rPr>
        <w:t>6</w:t>
      </w:r>
      <w:proofErr w:type="gramEnd"/>
      <w:r>
        <w:rPr>
          <w:sz w:val="22"/>
          <w:szCs w:val="22"/>
        </w:rPr>
        <w:t xml:space="preserve"> milhões de litros, quantidade suficiente, em caso de estiagem de três meses, para uso em descargas dos sanitários, irrigação do gramado e jardins e limpeza das áreas externas.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Geração de energia elétrica através da captação de energia solar, por meio de células fotovoltaicas instaladas na cobertura existente e na nova cobertura. Essas placas terão potência de </w:t>
      </w:r>
      <w:proofErr w:type="gramStart"/>
      <w:r>
        <w:rPr>
          <w:sz w:val="22"/>
          <w:szCs w:val="22"/>
        </w:rPr>
        <w:t>1,6 megawatt</w:t>
      </w:r>
      <w:proofErr w:type="gramEnd"/>
      <w:r>
        <w:rPr>
          <w:sz w:val="22"/>
          <w:szCs w:val="22"/>
        </w:rPr>
        <w:t xml:space="preserve">, o suficiente para atender a 1.200 residências de médio porte.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Iluminação de alta eficiência e baixo consumo, com sistema elétrico inteligente.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Sistema de coleta seletiva de lixo e armazenamento de resíduos sólidos. </w:t>
      </w:r>
    </w:p>
    <w:p w:rsidR="00F71E2F" w:rsidRDefault="00F71E2F" w:rsidP="00F71E2F">
      <w:pPr>
        <w:pStyle w:val="Default"/>
        <w:spacing w:after="18"/>
        <w:rPr>
          <w:sz w:val="22"/>
          <w:szCs w:val="22"/>
        </w:rPr>
      </w:pPr>
      <w:r>
        <w:rPr>
          <w:rFonts w:ascii="Arial" w:hAnsi="Arial" w:cs="Arial"/>
          <w:sz w:val="22"/>
          <w:szCs w:val="22"/>
        </w:rPr>
        <w:t xml:space="preserve">▲ </w:t>
      </w:r>
      <w:r>
        <w:rPr>
          <w:sz w:val="22"/>
          <w:szCs w:val="22"/>
        </w:rPr>
        <w:t xml:space="preserve">Uso de madeira com selo de manejo florestal. </w:t>
      </w:r>
    </w:p>
    <w:p w:rsidR="00F71E2F" w:rsidRDefault="00F71E2F" w:rsidP="00F71E2F">
      <w:pPr>
        <w:pStyle w:val="Default"/>
        <w:rPr>
          <w:sz w:val="22"/>
          <w:szCs w:val="22"/>
        </w:rPr>
      </w:pPr>
      <w:r>
        <w:rPr>
          <w:rFonts w:ascii="Arial" w:hAnsi="Arial" w:cs="Arial"/>
          <w:sz w:val="22"/>
          <w:szCs w:val="22"/>
        </w:rPr>
        <w:t xml:space="preserve">▲ </w:t>
      </w:r>
      <w:r>
        <w:rPr>
          <w:sz w:val="22"/>
          <w:szCs w:val="22"/>
        </w:rPr>
        <w:t xml:space="preserve">Como a carcaça do Mineirão foi preservada, deixou-se de produzir muito entulho. Caso ele fosse demolido, seriam dispensados cerca de 32.500 m³ de concreto (referentes a pórticos, paredes, cobertura antiga, arquibancadas e geral), além de 3.610 toneladas de aço. </w:t>
      </w:r>
    </w:p>
    <w:p w:rsidR="00F915A3" w:rsidRDefault="00F71E2F"/>
    <w:sectPr w:rsidR="00F915A3" w:rsidSect="00CC2E44">
      <w:pgSz w:w="11906" w:h="17338"/>
      <w:pgMar w:top="830"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E2F"/>
    <w:rsid w:val="00496C12"/>
    <w:rsid w:val="005E4B00"/>
    <w:rsid w:val="00F71E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F71E2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F71E2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523</Words>
  <Characters>2829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CAMG</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m1307498</dc:creator>
  <cp:lastModifiedBy>m1307498</cp:lastModifiedBy>
  <cp:revision>1</cp:revision>
  <dcterms:created xsi:type="dcterms:W3CDTF">2012-12-12T16:48:00Z</dcterms:created>
  <dcterms:modified xsi:type="dcterms:W3CDTF">2012-12-12T16:49:00Z</dcterms:modified>
</cp:coreProperties>
</file>